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right="0" w:firstLine="431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Приложение № ____ к договору генподряда </w:t>
        <w:br/>
        <w:t xml:space="preserve">             от «___» ____________202__г. № _________</w:t>
      </w:r>
    </w:p>
    <w:p>
      <w:pPr>
        <w:pStyle w:val="Normal"/>
        <w:ind w:left="4248" w:right="0" w:firstLine="431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47" w:right="0" w:firstLine="9"/>
        <w:rPr>
          <w:rFonts w:ascii="Times New Roman" w:hAnsi="Times New Roman"/>
          <w:sz w:val="22"/>
          <w:szCs w:val="22"/>
        </w:rPr>
      </w:pPr>
      <w:r>
        <w:rPr>
          <w:rFonts w:eastAsia="Tahoma" w:cs="Tahoma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</w:t>
      </w:r>
      <w:r>
        <w:rPr>
          <w:rFonts w:cs="Tahoma"/>
          <w:sz w:val="22"/>
          <w:szCs w:val="22"/>
        </w:rPr>
        <w:t>УТВЕРЖДАЮ</w:t>
      </w:r>
    </w:p>
    <w:p>
      <w:pPr>
        <w:pStyle w:val="BodyTextIndent3"/>
        <w:ind w:left="647" w:right="0" w:firstLine="9"/>
        <w:rPr>
          <w:rFonts w:ascii="Times New Roman" w:hAnsi="Times New Roman"/>
          <w:sz w:val="22"/>
          <w:szCs w:val="22"/>
        </w:rPr>
      </w:pPr>
      <w:r>
        <w:rPr>
          <w:rFonts w:eastAsia="Tahoma" w:cs="Tahoma" w:ascii="Times New Roman" w:hAnsi="Times New Roman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</w:t>
      </w:r>
      <w:r>
        <w:rPr>
          <w:rFonts w:cs="Tahoma" w:ascii="Times New Roman" w:hAnsi="Times New Roman"/>
          <w:sz w:val="22"/>
          <w:szCs w:val="22"/>
        </w:rPr>
        <w:t xml:space="preserve">Главный управляющий директор </w:t>
      </w:r>
    </w:p>
    <w:p>
      <w:pPr>
        <w:pStyle w:val="BodyTextIndent3"/>
        <w:ind w:left="647" w:right="0" w:firstLine="9"/>
        <w:rPr>
          <w:rFonts w:ascii="Times New Roman" w:hAnsi="Times New Roman"/>
          <w:sz w:val="22"/>
          <w:szCs w:val="22"/>
        </w:rPr>
      </w:pPr>
      <w:r>
        <w:rPr>
          <w:rFonts w:eastAsia="Tahoma" w:cs="Tahoma" w:ascii="Times New Roman" w:hAnsi="Times New Roman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</w:t>
      </w:r>
      <w:r>
        <w:rPr>
          <w:rFonts w:cs="Tahoma" w:ascii="Times New Roman" w:hAnsi="Times New Roman"/>
          <w:sz w:val="22"/>
          <w:szCs w:val="22"/>
        </w:rPr>
        <w:t>ООО «Самарские коммунальные системы»</w:t>
      </w:r>
    </w:p>
    <w:p>
      <w:pPr>
        <w:pStyle w:val="BodyTextIndent3"/>
        <w:ind w:left="647" w:right="0" w:firstLine="9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BodyTextIndent3"/>
        <w:ind w:left="647" w:right="0" w:firstLine="9"/>
        <w:rPr>
          <w:rFonts w:ascii="Times New Roman" w:hAnsi="Times New Roman"/>
          <w:sz w:val="22"/>
          <w:szCs w:val="22"/>
        </w:rPr>
      </w:pPr>
      <w:r>
        <w:rPr>
          <w:rFonts w:eastAsia="Tahoma" w:cs="Tahoma" w:ascii="Times New Roman" w:hAnsi="Times New Roman"/>
          <w:sz w:val="22"/>
          <w:szCs w:val="22"/>
        </w:rPr>
        <w:t xml:space="preserve">       </w:t>
      </w:r>
      <w:r>
        <w:rPr>
          <w:rFonts w:eastAsia="Tahoma" w:cs="Tahoma" w:ascii="Times New Roman" w:hAnsi="Times New Roman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 xml:space="preserve">      </w:t>
      </w:r>
      <w:r>
        <w:rPr>
          <w:rFonts w:cs="Tahoma" w:ascii="Times New Roman" w:hAnsi="Times New Roman"/>
          <w:sz w:val="22"/>
          <w:szCs w:val="22"/>
        </w:rPr>
        <w:t>________________________ В.В. Бирюков</w:t>
      </w:r>
      <w:r>
        <w:rPr>
          <w:rFonts w:eastAsia="Tahoma" w:cs="Tahoma" w:ascii="Times New Roman" w:hAnsi="Times New Roman"/>
          <w:sz w:val="22"/>
          <w:szCs w:val="22"/>
        </w:rPr>
        <w:t xml:space="preserve">  </w:t>
      </w:r>
    </w:p>
    <w:p>
      <w:pPr>
        <w:pStyle w:val="BodyTextIndent3"/>
        <w:ind w:left="647" w:right="0" w:firstLine="9"/>
        <w:rPr>
          <w:rFonts w:ascii="Times New Roman" w:hAnsi="Times New Roman"/>
          <w:sz w:val="22"/>
          <w:szCs w:val="22"/>
        </w:rPr>
      </w:pPr>
      <w:r>
        <w:rPr>
          <w:rFonts w:eastAsia="Tahoma" w:cs="Tahoma" w:ascii="Times New Roman" w:hAnsi="Times New Roman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</w:t>
      </w:r>
      <w:r>
        <w:rPr>
          <w:rFonts w:eastAsia="Tahoma" w:cs="Tahoma" w:ascii="Times New Roman" w:hAnsi="Times New Roman"/>
          <w:sz w:val="20"/>
          <w:szCs w:val="20"/>
        </w:rPr>
        <w:t xml:space="preserve">   </w:t>
      </w:r>
      <w:r>
        <w:rPr>
          <w:rFonts w:cs="Tahoma" w:ascii="Times New Roman" w:hAnsi="Times New Roman"/>
          <w:sz w:val="20"/>
          <w:szCs w:val="20"/>
        </w:rPr>
        <w:t>м.п.</w:t>
      </w: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2"/>
          <w:szCs w:val="22"/>
        </w:rPr>
        <w:t>ЗАДАНИЕ НА ПРОЕКТИРОВАНИЕ № СКС-202</w:t>
      </w:r>
      <w:r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-ХВ -ИП-</w:t>
      </w:r>
      <w:r>
        <w:rPr>
          <w:rFonts w:eastAsia="Times New Roman" w:cs="Times New Roman"/>
          <w:b/>
          <w:color w:val="000000"/>
          <w:kern w:val="0"/>
          <w:sz w:val="22"/>
          <w:szCs w:val="22"/>
          <w:lang w:val="ru-RU" w:eastAsia="ru-RU" w:bidi="ar-SA"/>
        </w:rPr>
        <w:t>6.1.19.1-1</w:t>
      </w:r>
      <w:r>
        <w:rPr>
          <w:b/>
          <w:sz w:val="22"/>
          <w:szCs w:val="22"/>
        </w:rPr>
        <w:br/>
      </w:r>
      <w:bookmarkStart w:id="0" w:name="__DdeLink__1934_2446238795"/>
      <w:r>
        <w:rPr>
          <w:rFonts w:eastAsia="Times New Roman" w:cs="Tahoma"/>
          <w:b/>
          <w:bCs/>
          <w:color w:val="000000"/>
          <w:sz w:val="22"/>
          <w:szCs w:val="22"/>
          <w:lang w:val="ru-RU" w:eastAsia="ru-RU" w:bidi="ar-SA"/>
        </w:rPr>
        <w:t>о</w:t>
      </w:r>
      <w:r>
        <w:rPr>
          <w:rFonts w:cs="Tahoma"/>
          <w:b/>
          <w:bCs/>
          <w:sz w:val="22"/>
          <w:szCs w:val="22"/>
          <w:lang w:val="ru-RU" w:eastAsia="zh-CN" w:bidi="ar-SA"/>
        </w:rPr>
        <w:t>бъекта «</w:t>
      </w:r>
      <w:r>
        <w:rPr>
          <w:rFonts w:eastAsia="Times New Roman" w:cs="Tahoma"/>
          <w:b/>
          <w:bCs/>
          <w:color w:val="000000"/>
          <w:kern w:val="0"/>
          <w:sz w:val="22"/>
          <w:szCs w:val="22"/>
          <w:lang w:val="ru-RU" w:eastAsia="zh-CN" w:bidi="ar-SA"/>
        </w:rPr>
        <w:t xml:space="preserve">Водопровод» </w:t>
      </w:r>
      <w:bookmarkEnd w:id="0"/>
    </w:p>
    <w:p>
      <w:pPr>
        <w:pStyle w:val="Normal"/>
        <w:spacing w:lineRule="auto" w:line="240" w:before="57" w:after="57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tbl>
      <w:tblPr>
        <w:tblW w:w="9611" w:type="dxa"/>
        <w:jc w:val="left"/>
        <w:tblInd w:w="25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616"/>
        <w:gridCol w:w="2670"/>
        <w:gridCol w:w="6325"/>
      </w:tblGrid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  <w:lang w:val="en-US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Договор о подключении (технологическом присоединении) к централизованной системе холодного водоснабжения объекта капитального строительства «</w:t>
            </w:r>
            <w:r>
              <w:rPr>
                <w:rFonts w:eastAsia="Times New Roman" w:cs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Д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вухсекционный жилой дом с подземным паркингом и встроенными нежилыми помещениями, расположенный в границах улиц Артемовская, 3-проезд, Корабельная, г. Самара»</w:t>
            </w:r>
          </w:p>
        </w:tc>
      </w:tr>
      <w:tr>
        <w:trPr>
          <w:trHeight w:val="441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  <w:lang w:val="en-US"/>
              </w:rPr>
              <w:t>2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Вид строительства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306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Новое строительство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  <w:lang w:val="en-US"/>
              </w:rPr>
              <w:t>3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Стадия проектирования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П</w:t>
            </w:r>
            <w:r>
              <w:rPr>
                <w:i w:val="false"/>
                <w:iCs w:val="false"/>
                <w:sz w:val="22"/>
                <w:szCs w:val="22"/>
              </w:rPr>
              <w:t>роектная документация</w:t>
            </w:r>
            <w:r>
              <w:rPr>
                <w:i w:val="false"/>
                <w:iCs w:val="false"/>
                <w:sz w:val="24"/>
                <w:szCs w:val="24"/>
              </w:rPr>
              <w:t>, рабочая документация.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  <w:lang w:val="en-US"/>
              </w:rPr>
              <w:t>4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Исходные данные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i w:val="false"/>
                <w:iCs w:val="false"/>
                <w:color w:val="00000A"/>
                <w:sz w:val="22"/>
                <w:szCs w:val="22"/>
              </w:rPr>
              <w:t>Исходные данные представлены в Приложениях №№ 1.2.1 — 1.2.5 к настоящему Заданию на проектирование (далее — ЗП).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i w:val="false"/>
                <w:iCs w:val="false"/>
                <w:color w:val="00000A"/>
                <w:sz w:val="22"/>
                <w:szCs w:val="22"/>
              </w:rPr>
              <w:t>Кадастровый номер земельного участка, на котором располагается объект подключения — 63:01:0629004:12.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5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Месторасположение предприятия, здания, сооружения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2"/>
                <w:szCs w:val="22"/>
              </w:rPr>
              <w:t xml:space="preserve">г. Самара, 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2"/>
                <w:szCs w:val="22"/>
                <w:lang w:val="ru-RU" w:eastAsia="zh-CN" w:bidi="ar-SA"/>
              </w:rPr>
              <w:t>Октябрьский</w:t>
            </w:r>
            <w:r>
              <w:rPr>
                <w:rFonts w:cs="Tahoma"/>
                <w:i w:val="false"/>
                <w:iCs w:val="false"/>
                <w:color w:val="00000A"/>
                <w:sz w:val="22"/>
                <w:szCs w:val="22"/>
              </w:rPr>
              <w:t xml:space="preserve"> район, в районе 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ул. Корабельная, 3-проезд.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>Ситуационная схема объекта подключения и схема места положения проектируемых сетей прилагаются (Приложения №1.2.3 и №1.2.4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6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Порядок разработки документации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6.1. Выполнить подготовку и получение всех необходимых исходных и дополнительных данных, исходно-разрешительной документации, осуществить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требуемые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 действия в объеме, необходимом для выполнения, согласования инженерных изысканий (в том числе при необходимости - археологических),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разработки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 схем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eastAsia="ar-SA"/>
              </w:rPr>
              <w:t>схем границ планируемого к размещению линейных объектов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>, для разработки, согласования документации, прохождения историко-культурной экспертизы.</w:t>
            </w:r>
            <w:r>
              <w:rPr>
                <w:rFonts w:eastAsia="Arial" w:cs="Tahoma"/>
                <w:b w:val="false"/>
                <w:bCs w:val="false"/>
                <w:sz w:val="22"/>
                <w:szCs w:val="22"/>
              </w:rPr>
              <w:t xml:space="preserve"> 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</w:rPr>
              <w:t>Определить с учетом требований действующего законодательства РФ,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</w:rPr>
              <w:t>с учетом существующей градостроительной ситуации (в том числе наличия прав третьих лиц), с учетом места расположения внутренних  сетей объекта подключения, трассы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</w:rPr>
              <w:t xml:space="preserve"> сетей водопровода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2"/>
                <w:szCs w:val="22"/>
                <w:u w:val="none"/>
                <w:lang w:val="ru-RU" w:eastAsia="ru-RU" w:bidi="ar-SA"/>
              </w:rPr>
              <w:t>способы производства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</w:rPr>
              <w:t>. 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6.3. Выполнить подбор (в том числе сравнение технических и экономических характеристик, с техни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lang w:val="ru-RU" w:eastAsia="ru-RU" w:bidi="ar-SA"/>
              </w:rPr>
              <w:t>ко-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Приложений №1.1.2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</w:rPr>
              <w:t>№1.1.3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к настоящему ЗП.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6.4. Определить, с учетом требований законодательных, нормативно- технических и правовых документов, в том числе в области охраны объектов культурного наследия, необходимость: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- проведения археологических полевых работ/археологических изысканий, 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- получения иных документов, материалов,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выполнения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иных мероприятий,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требуемых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для осуществления проектирования и строительства объекта.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2"/>
                <w:szCs w:val="22"/>
              </w:rPr>
              <w:t xml:space="preserve">6.5. 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Выполнить необходимые для строительства сетей водоснабжения и сооружений на них (в соответствии с 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sz w:val="22"/>
                <w:szCs w:val="22"/>
              </w:rPr>
              <w:t>Приложением №1.2.2 к настоящему ЗП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) схемы границ предполагаемых к использованию земель или части земельного участка на кадастровом плане территории и схемы границ планируемых к размещению линейных объектов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highlight w:val="white"/>
              </w:rPr>
              <w:t>в системе координат, используемой для ведения</w:t>
            </w:r>
            <w:bookmarkStart w:id="1" w:name="P0269111"/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eastAsia="ar-SA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 xml:space="preserve">6.6. Выполнить в соответствии с нормативно-техническими требованиями, с учетом степени изученности территории инженерно-геодезические, инженерно-геологические, при необходимости  иные изыскания, в том числе археологические, в объеме, необходимом для разработки схем границ предполагаемых к использованию земель, проектирования </w:t>
            </w:r>
            <w:r>
              <w:rPr>
                <w:rFonts w:eastAsia="Arial" w:cs="Tahoma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объектов с получением всех необходимых согласований и при необходимости  экспертиз</w:t>
            </w: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>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6.7.</w:t>
            </w: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 xml:space="preserve"> При наличии по проектируемым трассам зеленых насаждений указать контуры древесной растительности и отдельно стоящие деревья (нанести породу дерева, диаметр).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>6.8. На съемке нанести и обновить все существующие подземные и надземные сооружения и коммуникации с указанием всех характеристик, в том числе: глубины или высоты их заложения, типа коммуникаций, диаметра, материала исполнения, глубины близлежащих колодцев с указанием отметки дна колодца и отметки верха трубы, находящейся в этом колодце.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>6.9. На топосъемке и плане сетей нанести границы всех попадающих в зону проектирования земельных участков, в том числе стоящих на кадастре с указанием кадастрового номера.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2"/>
                <w:szCs w:val="22"/>
              </w:rPr>
              <w:t xml:space="preserve">6.10. На съемке указать существующие и вновь закладываемые в районе объекта строительства реперы (на капитальном объекте, не подлежащем демонтажу с привязками к местности). 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zh-CN" w:bidi="ar-SA"/>
              </w:rPr>
              <w:t>С</w:t>
            </w:r>
            <w:r>
              <w:rPr>
                <w:rFonts w:eastAsia="Times New Roman" w:cs="Times New Roman"/>
                <w:b w:val="false"/>
                <w:bCs w:val="false"/>
                <w:color w:val="auto"/>
                <w:sz w:val="22"/>
                <w:szCs w:val="22"/>
                <w:lang w:val="ru-RU" w:eastAsia="zh-CN" w:bidi="ar-SA"/>
              </w:rPr>
              <w:t>дать их в натуре Заказчику.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val="ru-RU" w:eastAsia="ar-SA" w:bidi="ar-SA"/>
              </w:rPr>
              <w:t>6.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val="en-US" w:eastAsia="ar-SA" w:bidi="ar-SA"/>
              </w:rPr>
              <w:t>11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val="ru-RU" w:eastAsia="ar-SA" w:bidi="ar-SA"/>
              </w:rPr>
              <w:t xml:space="preserve">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val="ru-RU" w:eastAsia="ar-SA" w:bidi="ar-SA"/>
              </w:rPr>
              <w:t>Выполнить при необходимости историко-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val="ru-RU" w:eastAsia="ar-SA" w:bidi="ar-SA"/>
              </w:rPr>
              <w:t>культурную экспертизу с получением заключения и решения соответствующих органов о возможности проведения работ.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6.1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  <w:lang w:val="en-US"/>
              </w:rPr>
              <w:t>2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. Выполнить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2"/>
                <w:szCs w:val="22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документацию для строительства водопроводных и канализационных сетей, сооружений на них согласно Технических условий </w:t>
            </w:r>
            <w:r>
              <w:rPr>
                <w:rFonts w:eastAsia="Arial" w:cs="Arial"/>
                <w:b w:val="false"/>
                <w:bCs/>
                <w:i w:val="false"/>
                <w:iCs w:val="false"/>
                <w:color w:val="000000"/>
                <w:sz w:val="22"/>
                <w:szCs w:val="22"/>
              </w:rPr>
              <w:t xml:space="preserve">(Приложения №1.2.2 к настоящему ЗП) 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и настоящего ЗП в объеме, достаточном для: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2"/>
                <w:szCs w:val="22"/>
              </w:rPr>
              <w:t>- согласования ее с заинтересованными организациями;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- прохождения историко-культурной экспертизы </w:t>
            </w:r>
            <w:r>
              <w:rPr>
                <w:rFonts w:cs="Tahoma"/>
                <w:sz w:val="22"/>
                <w:szCs w:val="22"/>
                <w:lang w:val="en-US"/>
              </w:rPr>
              <w:t>(</w:t>
            </w:r>
            <w:r>
              <w:rPr>
                <w:rFonts w:cs="Tahoma"/>
                <w:sz w:val="22"/>
                <w:szCs w:val="22"/>
                <w:lang w:val="ru-RU"/>
              </w:rPr>
              <w:t>при необходимости проведения)</w:t>
            </w:r>
            <w:r>
              <w:rPr>
                <w:rFonts w:cs="Tahoma"/>
                <w:sz w:val="22"/>
                <w:szCs w:val="22"/>
              </w:rPr>
              <w:t>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eastAsia="ar-SA"/>
              </w:rPr>
              <w:t>- осуществления строительства.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2"/>
                <w:szCs w:val="22"/>
              </w:rPr>
              <w:t xml:space="preserve">6.13. 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В составе документации разработать в том числе: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- рабочую документацию на технологические и конструктивные решения </w:t>
            </w:r>
            <w:r>
              <w:rPr>
                <w:rFonts w:eastAsia="Tahoma" w:cs="Tahoma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по устройству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водопроводных  сетей</w:t>
            </w: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 xml:space="preserve"> и сооружений на них;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b w:val="false"/>
                <w:b w:val="false"/>
                <w:b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-  ведомости объемов работ;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b w:val="false"/>
                <w:b w:val="false"/>
                <w:b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-  разделы проектной документации, в том числе: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b w:val="false"/>
                <w:b w:val="false"/>
                <w:b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пояснительную записку (ПЗ);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color w:val="00000A"/>
                <w:sz w:val="22"/>
                <w:szCs w:val="22"/>
              </w:rPr>
              <w:t>п</w:t>
            </w:r>
            <w:r>
              <w:rPr>
                <w:rFonts w:cs="Tahoma"/>
                <w:b w:val="false"/>
                <w:sz w:val="22"/>
                <w:szCs w:val="22"/>
              </w:rPr>
              <w:t>роект организации строительства сетей и сооружений на них (ПОС) и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с</w:t>
            </w:r>
            <w:r>
              <w:rPr>
                <w:rFonts w:cs="Tahoma"/>
                <w:b w:val="false"/>
                <w:sz w:val="22"/>
                <w:szCs w:val="22"/>
              </w:rPr>
              <w:t>метную документацию,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 в том числе сводный сметный расчет (далее – ССР) с учетом требований, указанных в Приложении №1.1.1 к настоящему ЗП и с разделением затрат на каждый объект;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b w:val="false"/>
                <w:b w:val="false"/>
                <w:bCs w:val="false"/>
                <w:color w:val="00000A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eastAsia="ar-SA"/>
              </w:rPr>
              <w:t>- 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2"/>
                <w:szCs w:val="22"/>
              </w:rPr>
              <w:t xml:space="preserve">6.14.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2"/>
                <w:szCs w:val="22"/>
                <w:lang w:val="ru-RU"/>
              </w:rPr>
              <w:t xml:space="preserve">и спецификации оборудования и материалов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 на устройство сетей водопровода  и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6.15.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Выполнить согласование инженерных изысканий и документации, других необходимых материалов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с Заказчиком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 объекта подключения — в части «увязки» проектируемых водопроводных вводов с внутр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енними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 сетями объекта подключения; всех проектируемых сетей - со всеми заинтересованными лицами, заинтересованными и эксплуатирующими организациями города, с компетентными государственными организациями (при необходимости), органами местного самоуправления (при необходимости), в том числе с Департаментом градостроительства г.о. Самара.</w:t>
            </w:r>
          </w:p>
          <w:p>
            <w:pPr>
              <w:pStyle w:val="29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>6.16. Внести по требованию согласующих и эксплуатационных организаций, лиц, компетентных государственных органов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7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по вариантной разработке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trike w:val="false"/>
                <w:dstrike w:val="false"/>
              </w:rPr>
            </w:pPr>
            <w:r>
              <w:rPr>
                <w:rFonts w:eastAsia="Times New Roman" w:cs="Times New Roman"/>
                <w:i w:val="false"/>
                <w:iCs w:val="false"/>
                <w:strike w:val="false"/>
                <w:dstrike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8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2"/>
                <w:szCs w:val="22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2"/>
                <w:szCs w:val="22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2"/>
                <w:szCs w:val="22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2"/>
                <w:szCs w:val="22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9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Два 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одопроводных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ввода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 Дн-160 мм общей протяженностью ориентировочно 15 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2"/>
                <w:szCs w:val="22"/>
              </w:rPr>
              <w:t>9.2. Пожарные гидранты — по нормам.</w:t>
            </w:r>
          </w:p>
          <w:p>
            <w:pPr>
              <w:pStyle w:val="BodyTextIndent2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2"/>
                <w:szCs w:val="22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10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Особые требования к проектированию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>Генподрядчику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 xml:space="preserve">Получить необходимые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white"/>
                <w:lang w:val="ru-RU" w:eastAsia="ru-RU" w:bidi="ar-SA"/>
              </w:rPr>
              <w:t>для проектирования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 xml:space="preserve"> данные и документы,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white"/>
                <w:lang w:val="ru-RU" w:eastAsia="ru-RU" w:bidi="ar-SA"/>
              </w:rPr>
              <w:t>осуществить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 xml:space="preserve"> мероприятия, необходимые для выполнения работы, согласовать документацию, провести при необходимости историко-культурную экспертизу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highlight w:val="white"/>
                <w:lang w:val="ru-RU" w:eastAsia="ru-RU" w:bidi="ar-SA"/>
              </w:rPr>
              <w:t xml:space="preserve"> и получить решения соответствующих органов о возможности проведения работ по устройству сетей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>.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  <w:lang w:eastAsia="ar-SA"/>
              </w:rPr>
              <w:t>Оплату счетов за согласование и проведение экспертизы осуществляет Генподрядчик.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 xml:space="preserve">10.2.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lang w:val="ru-RU" w:eastAsia="ru-RU" w:bidi="ar-SA"/>
              </w:rPr>
              <w:t xml:space="preserve">Выполнить ресурсную ведомость материалов и оборудования, включенных в смету на выполнение строительно-монтажных работ, и спецификации оборудования и материалов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lang w:val="ru-RU" w:eastAsia="ru-RU" w:bidi="ar-SA"/>
              </w:rPr>
              <w:t xml:space="preserve">сетей водопровода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lang w:val="ru-RU" w:eastAsia="ru-RU" w:bidi="ar-SA"/>
              </w:rPr>
              <w:t>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 xml:space="preserve">10.3.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ru-RU" w:eastAsia="ar-SA" w:bidi="ar-SA"/>
              </w:rPr>
              <w:t xml:space="preserve">Состав и содержание разделов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eastAsia="ar-SA" w:bidi="ar-SA"/>
              </w:rPr>
              <w:t>проектной документации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ru-RU" w:eastAsia="ar-SA" w:bidi="ar-SA"/>
              </w:rPr>
              <w:t xml:space="preserve">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eastAsia="ar-SA" w:bidi="ar-SA"/>
              </w:rPr>
              <w:t xml:space="preserve">ПЗ, ПОС, ПОД, СД)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ru-RU" w:eastAsia="ar-SA" w:bidi="ar-SA"/>
              </w:rPr>
              <w:t xml:space="preserve">предусмотреть в соответствии с требованиями нормативно-технических документов и Постановления Правительства РФ от 16.02.08г. № 87 «О составе проектной документации и требованиях к их содержанию» с учетом изменений и дополнений, действующих на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eastAsia="ar-SA" w:bidi="ar-SA"/>
              </w:rPr>
              <w:t>дату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ru-RU" w:eastAsia="ar-SA" w:bidi="ar-SA"/>
              </w:rPr>
              <w:t xml:space="preserve"> выдачи документации.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10.5. При необходимости провести по согласованию с Заказчиком археологические исследования/изыскания с составлением отчета, разработать документацию и осуществить действия, требуемые для проведения историко-культурной экспертизы и решения соответствующих органов о возможности проведения работ, осуществить иные работы и разработать иную документацию, требуемые для  осуществления проектирования и строительства объекта.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10.6.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В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white"/>
                <w:lang w:val="ru-RU" w:eastAsia="ar-SA" w:bidi="ar-SA"/>
              </w:rPr>
              <w:t>се необходимые согласования документации с заинтересованными и эксплуатирующими сетевыми организациями, органами местного самоуправления, а так же с третьими лицами, при необходимости — историко-культурную экспертизу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2"/>
                <w:szCs w:val="22"/>
              </w:rPr>
              <w:t xml:space="preserve">10.7.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 w:bidi="ar-SA"/>
              </w:rPr>
              <w:t xml:space="preserve">При определении продолжительности строительства учитывать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2"/>
                <w:szCs w:val="22"/>
                <w:lang w:val="ru-RU" w:eastAsia="ru-RU" w:bidi="ar-SA"/>
              </w:rPr>
              <w:t>время, необходимое для получения разрешения на производство земляных работ силами подрядной организации.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2"/>
                <w:szCs w:val="22"/>
              </w:rPr>
              <w:t xml:space="preserve">10.8.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highlight w:val="white"/>
                <w:lang w:eastAsia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согласовании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2"/>
                <w:szCs w:val="22"/>
              </w:rPr>
              <w:t xml:space="preserve">10.9.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highlight w:val="white"/>
                <w:lang w:eastAsia="ar-SA"/>
              </w:rPr>
              <w:t>Внести по требованию согласующих организаций, лиц, компетентных государственных органов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highlight w:val="white"/>
                <w:lang w:eastAsia="ar-SA"/>
              </w:rPr>
              <w:t xml:space="preserve">10.10.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white"/>
                <w:lang w:val="ru-RU" w:eastAsia="ar-SA" w:bidi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highlight w:val="white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white"/>
                <w:lang w:val="ru-RU" w:eastAsia="ar-SA" w:bidi="ar-SA"/>
              </w:rPr>
              <w:t xml:space="preserve"> собственными силами и/или организовывает и координирует всю работу субподрядных организаций в объеме настоящего ЗП, в том числе по проведению изысканий, а так же несет ответственность за достоверность, качество и полноту выполненных работ, в том числе инженерных изысканий,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highlight w:val="white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highlight w:val="white"/>
                <w:lang w:val="ru-RU" w:eastAsia="ar-SA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10.11.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eastAsia="ar-SA"/>
              </w:rPr>
              <w:t xml:space="preserve">В случае ненадлежащего составления проекта,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10.12.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2"/>
                <w:szCs w:val="22"/>
              </w:rPr>
              <w:t xml:space="preserve">10.13.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lang w:eastAsia="ar-SA"/>
              </w:rPr>
              <w:t>Передать подлинники полученных данных, документов, согласований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sz w:val="22"/>
                <w:szCs w:val="22"/>
                <w:lang w:eastAsia="ar-SA"/>
              </w:rPr>
              <w:t>10.14.</w:t>
            </w:r>
            <w:r>
              <w:rPr>
                <w:rFonts w:eastAsia="Tahoma" w:cs="Tahoma"/>
                <w:i w:val="false"/>
                <w:iCs w:val="false"/>
                <w:color w:val="C9211E"/>
                <w:sz w:val="22"/>
                <w:szCs w:val="22"/>
                <w:lang w:eastAsia="ar-SA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auto"/>
                <w:spacing w:val="0"/>
                <w:kern w:val="0"/>
                <w:sz w:val="22"/>
                <w:szCs w:val="22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11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2"/>
                <w:szCs w:val="22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2"/>
                <w:szCs w:val="22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12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Документацию для строительства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 xml:space="preserve"> водопроводных сетей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и сооружений на них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с целью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технологического присоединения к централизованным системам холодного водо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снабж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ения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объекта капитального строительства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«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2"/>
                <w:szCs w:val="22"/>
                <w:u w:val="none"/>
                <w:em w:val="none"/>
                <w:lang w:val="ru-RU" w:eastAsia="ru-RU" w:bidi="ar-SA"/>
              </w:rPr>
              <w:t>Д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2"/>
                <w:szCs w:val="22"/>
                <w:u w:val="none"/>
                <w:em w:val="none"/>
              </w:rPr>
              <w:t xml:space="preserve">вухсекционный жилой дом с подземным паркингом и встроенными нежилыми помещениями, расположенный в границах улиц Артемовская, 3-проезд, Корабельная, г. Самара»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разработать в соответствии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 xml:space="preserve">с законодательными,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zh-CN" w:bidi="ar-SA"/>
              </w:rPr>
              <w:t xml:space="preserve">нормативно-техническими документами и требованиями, действующими на дату выдачи документации Заказчику, а так же на основе прилагаемых технических условий и требований настоящего ЗП,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с учетом требований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zh-CN" w:bidi="ar-SA"/>
              </w:rPr>
              <w:t xml:space="preserve">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дополнений).</w:t>
            </w:r>
          </w:p>
          <w:p>
            <w:pPr>
              <w:pStyle w:val="Style46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  <w:highlight w:val="white"/>
              </w:rPr>
              <w:t>Режим работы проектируемых объектов - непрерывный, без постоянного пребывания обслуживающего персонала.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2"/>
                <w:szCs w:val="22"/>
              </w:rPr>
              <w:t>12.3. Разработать документацию в соответствии с прилагаемыми техническими условиями (Приложение  №1.2.2 к настоящему ЗП) на устройство: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- двух водопроводных вводов Дн-160 мм от водопровода Д-300 мм по ул. Артемовская до наружной стены фундамента здания объекта подключения общей протяженностью ориентировочно 15 м.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2"/>
                <w:szCs w:val="22"/>
              </w:rPr>
              <w:t>12.4. Предусмотреть установку пожарных гидрантов в соответствии с нормативными требованиями.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12.5.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2"/>
                <w:szCs w:val="22"/>
                <w:highlight w:val="white"/>
                <w:lang w:val="ru-RU" w:eastAsia="ru-RU" w:bidi="ar-SA"/>
              </w:rPr>
              <w:t>Проектные решения по устройству водопроводных вводов  «увязать» с внутренними водопроводными сетями объекта подключения.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2"/>
                <w:szCs w:val="22"/>
              </w:rPr>
              <w:t>12.6.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12.7.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2"/>
                <w:szCs w:val="22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12.18. </w:t>
            </w:r>
            <w:bookmarkStart w:id="2" w:name="__DdeLink__4934_984431242"/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2"/>
                <w:szCs w:val="22"/>
              </w:rPr>
              <w:t>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" w:cs="Tahoma" w:eastAsiaTheme="minorHAnsi"/>
                <w:b w:val="false"/>
                <w:bCs/>
                <w:i w:val="false"/>
                <w:iCs w:val="false"/>
                <w:color w:val="auto"/>
                <w:sz w:val="22"/>
                <w:szCs w:val="22"/>
                <w:lang w:eastAsia="en-US"/>
              </w:rPr>
              <w:t>3-2015).</w:t>
            </w:r>
            <w:bookmarkEnd w:id="2"/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contextualSpacing/>
              <w:jc w:val="both"/>
              <w:rPr/>
            </w:pPr>
            <w:r>
              <w:rPr>
                <w:rFonts w:eastAsia="" w:cs="Tahoma" w:eastAsiaTheme="minorHAnsi"/>
                <w:b w:val="false"/>
                <w:bCs/>
                <w:i w:val="false"/>
                <w:iCs w:val="false"/>
                <w:color w:val="auto"/>
                <w:sz w:val="22"/>
                <w:szCs w:val="22"/>
                <w:lang w:eastAsia="en-US"/>
              </w:rPr>
              <w:t xml:space="preserve">12.9.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Подготовить в составе рабочей документации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auto"/>
                <w:sz w:val="22"/>
                <w:szCs w:val="22"/>
                <w:lang w:eastAsia="en-US"/>
              </w:rPr>
              <w:t xml:space="preserve"> опросные листы на запорно-регулирующую арматуру с перечнем обязательных требований, а также утвержденных опросных листов для основных групп ТМЦ (см. Приложение №1.1.3 к настоящему ЗП).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13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</w:tcPr>
          <w:p>
            <w:pPr>
              <w:pStyle w:val="Normal"/>
              <w:suppressAutoHyphens w:val="true"/>
              <w:bidi w:val="0"/>
              <w:spacing w:lineRule="auto" w:line="240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cs="Tahoma"/>
                <w:b w:val="false"/>
                <w:sz w:val="22"/>
                <w:szCs w:val="22"/>
              </w:rPr>
              <w:t>13.1. Д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>окументацию разработать в соответствии с действующими на дату выдачи документации Заказчику законодательством,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>нормативно-техническими и правовыми документами.</w:t>
            </w:r>
          </w:p>
          <w:p>
            <w:pPr>
              <w:pStyle w:val="Normal"/>
              <w:suppressAutoHyphens w:val="true"/>
              <w:bidi w:val="0"/>
              <w:spacing w:lineRule="auto" w:line="240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13.2. Применить типовые конструкции и изделия.</w:t>
            </w:r>
          </w:p>
          <w:p>
            <w:pPr>
              <w:pStyle w:val="Normal"/>
              <w:suppressAutoHyphens w:val="true"/>
              <w:bidi w:val="0"/>
              <w:spacing w:lineRule="auto" w:line="240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sz w:val="22"/>
                <w:szCs w:val="22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2"/>
                <w:szCs w:val="22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Normal"/>
              <w:suppressAutoHyphens w:val="true"/>
              <w:bidi w:val="0"/>
              <w:spacing w:lineRule="auto" w:line="240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Normal"/>
              <w:suppressAutoHyphens w:val="true"/>
              <w:bidi w:val="0"/>
              <w:spacing w:lineRule="auto" w:line="240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2"/>
                <w:szCs w:val="22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2"/>
                <w:szCs w:val="22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2"/>
                <w:szCs w:val="22"/>
                <w:highlight w:val="white"/>
                <w:lang w:eastAsia="ar-SA"/>
              </w:rPr>
              <w:t>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14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14.1. При разработке документации учесть требования действующих законодательных, нормативно - технических и правовых документов, в том числе в области охраны окружающей среды, природопользования, и выполнить, при необходимости по согласованию с Заказчиком, соответствующие расчеты, работы, документацию и согласования</w:t>
            </w:r>
            <w:bookmarkStart w:id="3" w:name="__UnoMark__2747_142701157"/>
            <w:bookmarkEnd w:id="3"/>
            <w:r>
              <w:rPr>
                <w:i w:val="false"/>
                <w:iCs w:val="false"/>
                <w:sz w:val="22"/>
                <w:szCs w:val="22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i w:val="false"/>
                <w:iCs w:val="false"/>
                <w:color w:val="00000A"/>
                <w:sz w:val="22"/>
                <w:szCs w:val="22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2"/>
                <w:szCs w:val="22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2"/>
                <w:szCs w:val="22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 Соответствующие затраты подрядчика учесть в сметной документации.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cs="Tahoma"/>
                <w:i w:val="false"/>
                <w:iCs w:val="false"/>
                <w:color w:val="00000A"/>
                <w:sz w:val="22"/>
                <w:szCs w:val="22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2"/>
                <w:szCs w:val="22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cs="Arial"/>
                <w:i w:val="false"/>
                <w:i w:val="false"/>
                <w:iCs w:val="false"/>
                <w:color w:val="00000A"/>
                <w:sz w:val="24"/>
                <w:szCs w:val="24"/>
              </w:rPr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15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2"/>
                <w:szCs w:val="22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16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2"/>
                <w:szCs w:val="22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17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Технологическая связь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18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Энергоснабжение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shd w:fill="FFFFFF" w:val="clear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19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по энергосбережению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20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21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Выделение очередей и пусковых комплексов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>
        <w:trPr>
          <w:trHeight w:val="870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22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по ассимиляции производства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и инженерные коммуникации.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23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24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по пожарной безопасности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25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51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Требования по инженерно-технической защищенности объектов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PlainText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2"/>
                <w:szCs w:val="22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26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к системам безопасности и охране объектов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27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Определение затрат на страхование 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Не требуется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28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одрядчик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29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Заказчик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2"/>
                <w:szCs w:val="22"/>
              </w:rPr>
              <w:t>т.+7(846)336-14-02, +7(846)207-48-71,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Style w:val="Style16"/>
                <w:rFonts w:cs="Times New Roman"/>
                <w:color w:val="auto"/>
                <w:sz w:val="22"/>
                <w:szCs w:val="22"/>
                <w:u w:val="none"/>
              </w:rPr>
              <w:t>факс +7(846)336-89-05</w:t>
            </w:r>
          </w:p>
        </w:tc>
      </w:tr>
      <w:tr>
        <w:trPr>
          <w:trHeight w:val="603" w:hRule="atLeast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  <w:lang w:val="ru-RU"/>
              </w:rPr>
              <w:t>30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Субподрядные проектные организации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2"/>
                <w:szCs w:val="22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31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Срок выполнения работы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Согласно графику выполнения работ к договору подряда на проектные работы.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32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Состав демонстрационных материалов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tabs>
                <w:tab w:val="clear" w:pos="306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Не требуются.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33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43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Срок действия задания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2"/>
                <w:szCs w:val="22"/>
              </w:rPr>
              <w:t>В течение срока проектирования.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34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2"/>
                <w:szCs w:val="22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2"/>
                <w:szCs w:val="22"/>
                <w:highlight w:val="yellow"/>
              </w:rPr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2"/>
                <w:szCs w:val="22"/>
              </w:rPr>
              <w:t>выполняет 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i w:val="false"/>
                <w:iCs w:val="false"/>
                <w:sz w:val="22"/>
                <w:szCs w:val="22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>получение необходимых исходных данных, информации, документов;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2"/>
                <w:szCs w:val="22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>- отчеты по результатам инженерн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 изысканий, при необходимости выполнения — археологических изысканий;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2"/>
                <w:szCs w:val="22"/>
                <w:lang w:val="ru-RU" w:eastAsia="ar-SA" w:bidi="ar-SA"/>
              </w:rPr>
              <w:t>- заключение историко-культурной экспертизы и решение соответствующих органов о возможности проведения работ по устройству сетей водопровода (при необходимости выполнения);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2"/>
                <w:szCs w:val="22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 документацию,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i w:val="false"/>
                <w:iCs w:val="false"/>
                <w:color w:val="00000A"/>
                <w:sz w:val="22"/>
                <w:szCs w:val="22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планируемых к размещению линейных объектов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highlight w:val="white"/>
                <w:lang w:eastAsia="ar-SA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i w:val="false"/>
                <w:iCs w:val="false"/>
                <w:color w:val="00000A"/>
                <w:sz w:val="22"/>
                <w:szCs w:val="22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2"/>
                <w:szCs w:val="22"/>
              </w:rPr>
              <w:t>согласований документации;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2"/>
                <w:szCs w:val="22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2"/>
                <w:szCs w:val="22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Проектные спецификации по всем разделам выдать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numPr>
                <w:ilvl w:val="0"/>
                <w:numId w:val="0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 xml:space="preserve">Генподрядчик передает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2"/>
                <w:szCs w:val="22"/>
              </w:rPr>
              <w:t xml:space="preserve"> документацию, подлинники всех полученных исходных и дополнительных данных, иные документы и материалы (на бумажном и эл.носителях)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2"/>
                <w:szCs w:val="22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4-х</w:t>
            </w:r>
            <w:r>
              <w:rPr>
                <w:i w:val="false"/>
                <w:iCs w:val="false"/>
                <w:sz w:val="22"/>
                <w:szCs w:val="22"/>
              </w:rPr>
              <w:t xml:space="preserve"> экземплярах;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в электронном виде - на </w:t>
            </w:r>
            <w:bookmarkStart w:id="4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флеш-накопителе</w:t>
            </w:r>
            <w:bookmarkEnd w:id="4"/>
            <w:r>
              <w:rPr>
                <w:i w:val="false"/>
                <w:iCs w:val="false"/>
                <w:sz w:val="22"/>
                <w:szCs w:val="22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</w:t>
            </w:r>
            <w:r>
              <w:rPr>
                <w:i w:val="false"/>
                <w:iCs w:val="false"/>
                <w:sz w:val="22"/>
                <w:szCs w:val="22"/>
              </w:rPr>
              <w:t xml:space="preserve">, ГРАНД-СМЕТА,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DWG</w:t>
            </w:r>
            <w:r>
              <w:rPr>
                <w:i w:val="false"/>
                <w:iCs w:val="false"/>
                <w:sz w:val="22"/>
                <w:szCs w:val="22"/>
              </w:rPr>
              <w:t xml:space="preserve"> 2013,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DOC</w:t>
            </w:r>
            <w:r>
              <w:rPr>
                <w:i w:val="false"/>
                <w:iCs w:val="false"/>
                <w:sz w:val="22"/>
                <w:szCs w:val="22"/>
              </w:rPr>
              <w:t xml:space="preserve"> (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DOCX</w:t>
            </w:r>
            <w:r>
              <w:rPr>
                <w:i w:val="false"/>
                <w:iCs w:val="false"/>
                <w:sz w:val="22"/>
                <w:szCs w:val="22"/>
              </w:rPr>
              <w:t xml:space="preserve">) и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XLS</w:t>
            </w:r>
            <w:r>
              <w:rPr>
                <w:i w:val="false"/>
                <w:iCs w:val="false"/>
                <w:sz w:val="22"/>
                <w:szCs w:val="22"/>
              </w:rPr>
              <w:t xml:space="preserve"> (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XLSX</w:t>
            </w:r>
            <w:r>
              <w:rPr>
                <w:i w:val="false"/>
                <w:iCs w:val="false"/>
                <w:sz w:val="22"/>
                <w:szCs w:val="22"/>
              </w:rPr>
              <w:t>).</w:t>
            </w:r>
          </w:p>
          <w:p>
            <w:pPr>
              <w:pStyle w:val="Style37"/>
              <w:widowControl/>
              <w:numPr>
                <w:ilvl w:val="0"/>
                <w:numId w:val="0"/>
              </w:numPr>
              <w:tabs>
                <w:tab w:val="clear" w:pos="306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eastAsia="ar-SA"/>
              </w:rPr>
              <w:t xml:space="preserve">схемы границ планируемых к размещению линейных объектов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35</w:t>
            </w:r>
          </w:p>
        </w:tc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Требования к передаче материалов на электронных носителях</w:t>
            </w:r>
          </w:p>
        </w:tc>
        <w:tc>
          <w:tcPr>
            <w:tcW w:w="6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2"/>
                <w:szCs w:val="22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На </w:t>
            </w:r>
            <w:bookmarkStart w:id="5" w:name="__DdeLink__10307_545458976"/>
            <w:bookmarkStart w:id="6" w:name="__DdeLink__1651_388564675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флеш-накопителе</w:t>
            </w:r>
            <w:bookmarkEnd w:id="5"/>
            <w:bookmarkEnd w:id="6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 xml:space="preserve">должна быть нанесена   маркировка с указанием: наименование и тип документации, Заказчика, Исполнителя, даты изготовления электронной версии, порядкового номера 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флеш-накопителя.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флеш-накопителя </w:t>
            </w:r>
            <w:r>
              <w:rPr>
                <w:i w:val="false"/>
                <w:iCs w:val="false"/>
                <w:sz w:val="22"/>
                <w:szCs w:val="22"/>
              </w:rPr>
              <w:t xml:space="preserve">должен находиться текстовый файл содержания в формате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</w:t>
            </w:r>
            <w:r>
              <w:rPr>
                <w:i w:val="false"/>
                <w:iCs w:val="false"/>
                <w:sz w:val="22"/>
                <w:szCs w:val="22"/>
              </w:rPr>
              <w:t xml:space="preserve">, ГРАНД-СМЕТА,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DOC</w:t>
            </w:r>
            <w:r>
              <w:rPr>
                <w:i w:val="false"/>
                <w:iCs w:val="false"/>
                <w:sz w:val="22"/>
                <w:szCs w:val="22"/>
              </w:rPr>
              <w:t xml:space="preserve"> (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DOCX</w:t>
            </w:r>
            <w:r>
              <w:rPr>
                <w:i w:val="false"/>
                <w:iCs w:val="false"/>
                <w:sz w:val="22"/>
                <w:szCs w:val="22"/>
              </w:rPr>
              <w:t xml:space="preserve">) и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XLS</w:t>
            </w:r>
            <w:r>
              <w:rPr>
                <w:i w:val="false"/>
                <w:iCs w:val="false"/>
                <w:sz w:val="22"/>
                <w:szCs w:val="22"/>
              </w:rPr>
              <w:t xml:space="preserve"> (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XLSX</w:t>
            </w:r>
            <w:r>
              <w:rPr>
                <w:i w:val="false"/>
                <w:iCs w:val="false"/>
                <w:sz w:val="22"/>
                <w:szCs w:val="22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флеш-накопитель</w:t>
            </w:r>
            <w:r>
              <w:rPr>
                <w:i w:val="false"/>
                <w:iCs w:val="false"/>
                <w:sz w:val="22"/>
                <w:szCs w:val="22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2"/>
                <w:szCs w:val="22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2"/>
                <w:szCs w:val="22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Технологические схемы и чертежи представить в </w:t>
            </w:r>
            <w:bookmarkStart w:id="7" w:name="_GoBack"/>
            <w:bookmarkEnd w:id="7"/>
            <w:r>
              <w:rPr>
                <w:i w:val="false"/>
                <w:iCs w:val="false"/>
                <w:sz w:val="22"/>
                <w:szCs w:val="22"/>
              </w:rPr>
              <w:t xml:space="preserve">форматах PDF и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DWG</w:t>
            </w:r>
            <w:r>
              <w:rPr>
                <w:i w:val="false"/>
                <w:iCs w:val="false"/>
                <w:sz w:val="22"/>
                <w:szCs w:val="22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</w:t>
            </w:r>
            <w:r>
              <w:rPr>
                <w:i w:val="false"/>
                <w:iCs w:val="false"/>
                <w:sz w:val="22"/>
                <w:szCs w:val="22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чертежи и схемы –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DWG</w:t>
            </w:r>
            <w:r>
              <w:rPr>
                <w:i w:val="false"/>
                <w:iCs w:val="false"/>
                <w:sz w:val="22"/>
                <w:szCs w:val="22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</w:t>
            </w:r>
            <w:r>
              <w:rPr>
                <w:i w:val="false"/>
                <w:iCs w:val="false"/>
                <w:sz w:val="22"/>
                <w:szCs w:val="22"/>
              </w:rPr>
              <w:t xml:space="preserve">,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DWG</w:t>
            </w:r>
            <w:r>
              <w:rPr>
                <w:i w:val="false"/>
                <w:iCs w:val="false"/>
                <w:sz w:val="22"/>
                <w:szCs w:val="22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</w:t>
            </w:r>
            <w:r>
              <w:rPr>
                <w:i w:val="false"/>
                <w:iCs w:val="false"/>
                <w:sz w:val="22"/>
                <w:szCs w:val="22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 xml:space="preserve">Исходные и дополнительные данные, заключение экспертизы и иные документы -  в формате </w:t>
            </w:r>
            <w:r>
              <w:rPr>
                <w:i w:val="false"/>
                <w:iCs w:val="false"/>
                <w:sz w:val="22"/>
                <w:szCs w:val="22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  <w:lang w:val="ru-RU"/>
              </w:rPr>
              <w:t xml:space="preserve">Спецификации оборудования и материалов, опросные листы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2"/>
                <w:szCs w:val="22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2"/>
                <w:szCs w:val="22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>схемы границ планируем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>ых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 xml:space="preserve"> к размещению линейн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>ых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 xml:space="preserve"> объект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>ов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 xml:space="preserve">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 xml:space="preserve"> 2013</w:t>
            </w:r>
            <w:bookmarkEnd w:id="8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2"/>
                <w:szCs w:val="22"/>
                <w:lang w:val="en-US" w:eastAsia="ar-SA"/>
              </w:rPr>
              <w:t>PDF.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2"/>
                <w:szCs w:val="22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/>
        <w:tc>
          <w:tcPr>
            <w:tcW w:w="6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6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57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2"/>
                <w:szCs w:val="22"/>
              </w:rPr>
              <w:t>Гриф секретности выполняемых инженерных изысканий и документации</w:t>
            </w:r>
          </w:p>
        </w:tc>
        <w:tc>
          <w:tcPr>
            <w:tcW w:w="63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28" w:after="28"/>
              <w:ind w:left="57" w:right="57" w:hanging="0"/>
              <w:jc w:val="both"/>
              <w:rPr>
                <w:rFonts w:ascii="Times New Roman" w:hAnsi="Times New Roman" w:eastAsia="Tahoma" w:cs="Tahoma"/>
                <w:i w:val="false"/>
                <w:i w:val="false"/>
                <w:iCs w:val="false"/>
                <w:sz w:val="24"/>
                <w:szCs w:val="24"/>
                <w:lang w:eastAsia="ar-SA"/>
              </w:rPr>
            </w:pPr>
            <w:r>
              <w:rPr>
                <w:rFonts w:eastAsia="Tahoma" w:cs="Tahoma"/>
                <w:i w:val="false"/>
                <w:iCs w:val="false"/>
                <w:sz w:val="22"/>
                <w:szCs w:val="22"/>
                <w:lang w:eastAsia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</w:rPr>
      </w:pPr>
      <w:r>
        <w:rPr>
          <w:rFonts w:eastAsia="Arial" w:cs="Tahoma"/>
          <w:b/>
          <w:bCs/>
          <w:i w:val="false"/>
          <w:iCs w:val="false"/>
          <w:color w:val="00000A"/>
          <w:sz w:val="22"/>
          <w:szCs w:val="22"/>
          <w:u w:val="single"/>
        </w:rPr>
        <w:t>Приложения: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2"/>
          <w:szCs w:val="22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2"/>
          <w:szCs w:val="22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rFonts w:eastAsia="Arial" w:cs="Tahoma"/>
          <w:b/>
          <w:b/>
          <w:bCs/>
          <w:i/>
          <w:i/>
          <w:iCs/>
          <w:strike/>
          <w:color w:val="00000A"/>
          <w:sz w:val="22"/>
          <w:szCs w:val="22"/>
          <w:u w:val="none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sz w:val="22"/>
          <w:szCs w:val="22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Приложение №1.2.2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е условия ООО «Самарские коммунальные системы» №ТУ-05-0013 от 14.01.2022</w:t>
      </w:r>
      <w:r>
        <w:rPr>
          <w:rFonts w:eastAsia="Arial" w:cs="Tahoma"/>
          <w:b/>
          <w:bCs/>
          <w:i/>
          <w:iCs/>
          <w:color w:val="00000A"/>
          <w:sz w:val="22"/>
          <w:szCs w:val="22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sz w:val="22"/>
          <w:szCs w:val="22"/>
        </w:rPr>
      </w:pPr>
      <w:r>
        <w:rPr>
          <w:rFonts w:eastAsia="Arial" w:cs="Arial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 xml:space="preserve">Приложение №1.2.3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>Ситуационная схема места положения объекта подключения.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sz w:val="22"/>
          <w:szCs w:val="22"/>
        </w:rPr>
      </w:pPr>
      <w:r>
        <w:rPr>
          <w:rFonts w:eastAsia="Arial" w:cs="Arial"/>
          <w:b w:val="false"/>
          <w:bCs w:val="false"/>
          <w:i w:val="false"/>
          <w:iCs w:val="false"/>
          <w:color w:val="00000A"/>
          <w:kern w:val="0"/>
          <w:sz w:val="22"/>
          <w:szCs w:val="22"/>
          <w:u w:val="none"/>
          <w:lang w:val="ru-RU" w:eastAsia="ru-RU" w:bidi="ar-SA"/>
        </w:rPr>
        <w:t>Приложение №1.2.4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kern w:val="0"/>
          <w:sz w:val="22"/>
          <w:szCs w:val="22"/>
          <w:u w:val="none"/>
          <w:lang w:val="ru-RU" w:eastAsia="ru-RU" w:bidi="ar-SA"/>
        </w:rPr>
        <w:t xml:space="preserve">Схема места положения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2"/>
          <w:szCs w:val="22"/>
          <w:u w:val="none"/>
          <w:lang w:val="ru-RU" w:eastAsia="ru-RU" w:bidi="ar-SA"/>
        </w:rPr>
        <w:t>проектируемых водопроводных и канализационных сетей.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sz w:val="22"/>
          <w:szCs w:val="22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2"/>
          <w:szCs w:val="22"/>
          <w:u w:val="none"/>
          <w:lang w:val="ru-RU" w:eastAsia="ru-RU" w:bidi="ar-SA"/>
        </w:rPr>
        <w:t>Приложение №1.2.5 Копия Разрешения на строительство объекта подключения.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28" w:after="28"/>
        <w:ind w:left="57" w:right="57" w:hanging="0"/>
        <w:jc w:val="both"/>
        <w:rPr>
          <w:sz w:val="22"/>
          <w:szCs w:val="22"/>
        </w:rPr>
      </w:pPr>
      <w:r>
        <w:rPr>
          <w:rFonts w:eastAsia="Times New Roman" w:cs="Tahoma"/>
          <w:b w:val="false"/>
          <w:bCs w:val="false"/>
          <w:i/>
          <w:iCs/>
          <w:color w:val="000000"/>
          <w:kern w:val="0"/>
          <w:sz w:val="22"/>
          <w:szCs w:val="22"/>
          <w:u w:val="none"/>
          <w:lang w:val="ru-RU" w:eastAsia="ru-RU" w:bidi="ar-SA"/>
        </w:rPr>
        <w:t xml:space="preserve">Заказчик объекта подключения - </w:t>
      </w: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2"/>
          <w:szCs w:val="22"/>
          <w:u w:val="none"/>
          <w:lang w:val="ru-RU" w:eastAsia="ru-RU" w:bidi="ar-SA"/>
        </w:rPr>
        <w:t xml:space="preserve"> </w:t>
      </w:r>
      <w:r>
        <w:rPr>
          <w:rFonts w:eastAsia="Times New Roman" w:cs="Tahoma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ru-RU" w:eastAsia="ru-RU" w:bidi="ar-SA"/>
        </w:rPr>
        <w:t>Общество с ограниченной ответственностью «СЗ «Компания Владимир»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2"/>
          <w:szCs w:val="22"/>
          <w:u w:val="none"/>
          <w:lang w:val="ru-RU" w:eastAsia="ru-RU" w:bidi="ar-SA"/>
        </w:rPr>
        <w:t xml:space="preserve">, контактное лицо — Сластенин Михаил Геннадьевич, тел. </w:t>
      </w:r>
      <w:r>
        <w:rPr>
          <w:rFonts w:eastAsia="Arial" w:cs="Tahoma"/>
          <w:b w:val="false"/>
          <w:bCs w:val="false"/>
          <w:i/>
          <w:iCs/>
          <w:color w:val="000000"/>
          <w:kern w:val="0"/>
          <w:sz w:val="22"/>
          <w:szCs w:val="22"/>
          <w:u w:val="none"/>
          <w:lang w:val="ru-RU" w:eastAsia="ru-RU" w:bidi="ar-SA"/>
        </w:rPr>
        <w:t>+7 927-658-14-62</w:t>
      </w:r>
      <w:r>
        <w:rPr>
          <w:rFonts w:eastAsia="Arial" w:cs="Tahoma"/>
          <w:b w:val="false"/>
          <w:bCs w:val="false"/>
          <w:i/>
          <w:iCs/>
          <w:color w:val="00000A"/>
          <w:kern w:val="0"/>
          <w:sz w:val="22"/>
          <w:szCs w:val="22"/>
          <w:u w:val="none"/>
          <w:lang w:val="en-US" w:eastAsia="ru-RU" w:bidi="ar-SA"/>
        </w:rPr>
        <w:t>.</w:t>
      </w:r>
    </w:p>
    <w:p>
      <w:pPr>
        <w:pStyle w:val="ConsPlus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</w:rPr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2"/>
          <w:szCs w:val="22"/>
          <w:u w:val="none"/>
          <w:shd w:fill="FFFFFF" w:val="clear"/>
          <w:lang w:val="ru-RU" w:eastAsia="ru-RU" w:bidi="ar-SA"/>
        </w:rPr>
        <w:t>Дополнительные данные, необходимые для проектирования, Генподрядчик запрашивает самостоятельно.</w:t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cs="Arial"/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19"/>
        <w:keepLines/>
        <w:spacing w:lineRule="auto" w:line="240"/>
        <w:ind w:left="720" w:right="15" w:hanging="720"/>
        <w:rPr>
          <w:rFonts w:ascii="Times New Roman" w:hAnsi="Times New Roman" w:eastAsia="Times New Roman"/>
          <w:b/>
          <w:b/>
          <w:sz w:val="22"/>
          <w:szCs w:val="22"/>
          <w:lang w:val="ru-RU" w:eastAsia="ru-RU"/>
        </w:rPr>
      </w:pPr>
      <w:r>
        <w:rPr>
          <w:rFonts w:eastAsia="Times New Roman" w:ascii="Times New Roman" w:hAnsi="Times New Roman"/>
          <w:b/>
          <w:sz w:val="22"/>
          <w:szCs w:val="22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39"/>
        <w:gridCol w:w="4698"/>
      </w:tblGrid>
      <w:tr>
        <w:trPr/>
        <w:tc>
          <w:tcPr>
            <w:tcW w:w="493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</w:rPr>
              <w:t xml:space="preserve">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ascii="Times New Roman" w:hAnsi="Times New Roman" w:cs="Tahoma"/>
                <w:sz w:val="24"/>
                <w:szCs w:val="24"/>
                <w:vertAlign w:val="superscript"/>
              </w:rPr>
            </w:pPr>
            <w:r>
              <w:rPr>
                <w:rFonts w:cs="Tahoma"/>
                <w:sz w:val="24"/>
                <w:szCs w:val="24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(Ф,И.О.)</w:t>
            </w:r>
          </w:p>
        </w:tc>
        <w:tc>
          <w:tcPr>
            <w:tcW w:w="469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2"/>
                <w:szCs w:val="22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2"/>
                <w:szCs w:val="22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2"/>
                <w:szCs w:val="22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2"/>
                <w:szCs w:val="22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  <w:lang w:val="ru-RU" w:eastAsia="ru-RU"/>
              </w:rPr>
              <w:t xml:space="preserve">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ahoma"/>
                <w:sz w:val="24"/>
                <w:szCs w:val="24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 xml:space="preserve">_________________ </w:t>
              <w:tab/>
              <w:t xml:space="preserve">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3"/>
                <w:u w:val="single"/>
                <w:lang w:val="ru-RU" w:eastAsia="ru-RU"/>
              </w:rPr>
              <w:t xml:space="preserve">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single"/>
                <w:lang w:val="ru-RU" w:eastAsia="ru-RU"/>
              </w:rPr>
              <w:t>Д.С. Ракицкий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306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 xml:space="preserve">                                          (Ф.И.О.)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  <w:sz w:val="22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221"/>
  <w:defaultTabStop w:val="3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306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306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false"/>
      <w:bidi w:val="0"/>
      <w:spacing w:before="0" w:after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306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306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306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306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306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306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306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false"/>
      <w:bidi w:val="0"/>
      <w:spacing w:before="0" w:after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false"/>
      <w:bidi w:val="0"/>
      <w:spacing w:before="0" w:after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306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306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306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fals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fals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Application>LibreOffice/6.3.4.2$Windows_X86_64 LibreOffice_project/60da17e045e08f1793c57c00ba83cdfce946d0aa</Application>
  <Pages>10</Pages>
  <Words>2944</Words>
  <Characters>22029</Characters>
  <CharactersWithSpaces>25107</CharactersWithSpaces>
  <Paragraphs>245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2023-01-17T16:56:09Z</cp:lastPrinted>
  <dcterms:modified xsi:type="dcterms:W3CDTF">2023-01-18T09:27:18Z</dcterms:modified>
  <cp:revision>168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